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Lista obecności na wydarzeniu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“...................................................................................................................”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termin……………………….miejsce………………………………….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4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170"/>
        <w:gridCol w:w="4460"/>
        <w:gridCol w:w="4404"/>
        <w:tblGridChange w:id="0">
          <w:tblGrid>
            <w:gridCol w:w="1170"/>
            <w:gridCol w:w="4460"/>
            <w:gridCol w:w="4404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Podpis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*Oświadczam, że zamieszkuję na terenie województwa świętokrzyskiego</w:t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KLAUZULA INFORMACYJNA O PRZETWARZANIU DANYCH OSOBOWYCH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Zgodnie z ogólnym rozporządzenia Parlamentu Europejskiego i Rady (UE) 2016/679 z dnia 27 kwietnia 2016 r. w sprawie ochrony osób ﬁzycznych w związku z przetwarzaniem danych osobowych i w sprawie swobodnego przepływu takich danych oraz uchylenia dyrektywy 95/46/WE (zwanego dalej Rozporządzenia RODO) informujemy iż: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40" w:lineRule="auto"/>
        <w:ind w:left="232" w:hanging="2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Administratorem Pani/Pana danych osobowych jest: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 [WPISAĆ NAZWĘ ORGANIZACJI/ORGANIZACJI PATRONA, ADRES I NUMER W REJESTRZE]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40" w:lineRule="auto"/>
        <w:ind w:left="232" w:hanging="2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Kontakt do administratora: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 [WPISAĆ ADRES E-MAIL ORGANIZACJI/ORGANIZACJI PATRONA]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Administrator będzie przetwarzał następujące Pani/Pana dane osobowe: imię, nazwisko, wizerunek.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Pani/Pana dane osobowe przetwarzane będą w związku z realizacją Inicjatywy w ramach Świętokrzyskiego Funduszu Lokalnego: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40" w:lineRule="auto"/>
        <w:ind w:left="36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podstawie art. 6 ust. 1 lit. a) osoba, której dane dotyczą wyraziła zgodę na przetwarzanie swoich danych osobowych w jednym lub większej liczbie określonych celów;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podstawie art. 6 ust. 1 lit. b) przetwarzanie jest niezbędne do wykonania umowy, której stroną jest osoba, której dane dotyczą, lub do podjęcia działań na żądanie osoby, której dane dotyczą, przed zawarciem umowy;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podstawie art. 6 ust. 1 lit. c) przetwarzanie jest niezbędne do wypełnienia obowiązku prawnego ciążącego na administratorze;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podstawie art. 6 ust. 1 lit. e) przetwarzanie jest niezbędne do wykonania zadania realizowanego w interesie publicznym lub w ramach sprawowania władzy publicznej powierzonej administratorowi;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podstawie art. 6 ust. 1 lit. f) przetwarzanie jest niezbędne do celów wynikających z prawnie uzasadnionych interesów realizowanych przez administratora lub przez stronę trzecią,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5.Odbiorcą Pani/Pana danych osobowych będą organy administracji publicznej oraz Operator programu Świętokrzyski Fundusz Lokalny - Fundacja imienia Stefana Artwińskiego z siedzibą w Kielcach, jeżeli jest to niezbędne do wypełnienia obowiązku prawnego, jak również instytucje, które wykażą w tym celu interes prawny.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 Pani/Pana dane osobowe nie będą przekazywane do państwa trzeciego/organizacji międzynarodowej.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7.Pani/Pana dane osobowe będą przechowywane przez 10 lat od zakończenia roku, w którym dane pozyskano.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8. Posiada Pani/Pan prawo dostępu do treści swoich danych, prawo do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9.. Ma Pani/Pan prawo wniesienia skargi do Prezesa UODO, gdy uzna Pani/Pan, iż przetwarzanie danych osobowych narusza przepisy ogólnego rozporządzenia o ochronie danych osobowych.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10.Podanie przez Panią/Pana danych osobowych jest warunkiem zawarcia umowy. Jest Pani/Pan zobowiązana/y do ich podania, a odmowa wyrażenia zgody lub cofnięcie zgody na ich przetwarzanie jest równoznaczne z rezygnacją z udziału w realizacji Inicjatywy.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11.Pani/Pana dane nie będą przetwarzane w sposób zautomatyzowany, w tym również w formie proﬁlowania.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720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                        </w:t>
    </w: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0" distR="0">
          <wp:extent cx="5065188" cy="1321682"/>
          <wp:effectExtent b="0" l="0" r="0" t="0"/>
          <wp:docPr descr="image1.png" id="1" name="image1.png"/>
          <a:graphic>
            <a:graphicData uri="http://schemas.openxmlformats.org/drawingml/2006/picture">
              <pic:pic>
                <pic:nvPicPr>
                  <pic:cNvPr descr="image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5188" cy="13216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                            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spacing w:after="0" w:line="240" w:lineRule="auto"/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11" w:hanging="211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11" w:hanging="21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611" w:hanging="21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411" w:hanging="211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211" w:hanging="21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11" w:hanging="211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811" w:hanging="211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611" w:hanging="211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KzV/6K1jk/I/L/o30WSo9y0uyw==">CgMxLjA4AHIhMXFCa1BtcGxOWUdiWVI5SUZEUHg5aXJxYk1xY0prUHZF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